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C1C1" w14:textId="26894663" w:rsidR="009C355B" w:rsidRDefault="009C355B" w:rsidP="00AB35E9">
      <w:pPr>
        <w:spacing w:before="100" w:beforeAutospacing="1" w:after="100" w:afterAutospacing="1" w:line="240" w:lineRule="auto"/>
        <w:contextualSpacing/>
        <w:rPr>
          <w:b/>
        </w:rPr>
      </w:pPr>
    </w:p>
    <w:p w14:paraId="10ADAAA0" w14:textId="004624A0" w:rsidR="0008511C" w:rsidRPr="00A95126" w:rsidRDefault="0008511C" w:rsidP="0008511C">
      <w:pPr>
        <w:spacing w:before="100" w:beforeAutospacing="1" w:after="100" w:afterAutospacing="1" w:line="240" w:lineRule="auto"/>
        <w:contextualSpacing/>
        <w:jc w:val="center"/>
        <w:rPr>
          <w:b/>
        </w:rPr>
      </w:pPr>
      <w:r w:rsidRPr="00A95126">
        <w:rPr>
          <w:b/>
        </w:rPr>
        <w:t>CONDIȚII SPECIFICE DE ACCESARE A FONDURILOR</w:t>
      </w:r>
    </w:p>
    <w:p w14:paraId="717764BC" w14:textId="77777777" w:rsidR="0008511C" w:rsidRPr="00B940C2" w:rsidRDefault="0008511C" w:rsidP="0008511C">
      <w:pPr>
        <w:spacing w:before="100" w:beforeAutospacing="1" w:after="100" w:afterAutospacing="1" w:line="240" w:lineRule="auto"/>
        <w:contextualSpacing/>
        <w:jc w:val="center"/>
      </w:pPr>
    </w:p>
    <w:p w14:paraId="0346BAE9" w14:textId="77777777" w:rsidR="0008511C" w:rsidRPr="009C355B" w:rsidRDefault="0008511C" w:rsidP="0008511C">
      <w:pPr>
        <w:spacing w:after="0" w:line="240" w:lineRule="auto"/>
        <w:contextualSpacing/>
        <w:jc w:val="both"/>
        <w:rPr>
          <w:b/>
        </w:rPr>
      </w:pPr>
      <w:r w:rsidRPr="009C355B">
        <w:rPr>
          <w:b/>
        </w:rPr>
        <w:t>Programul Operațional Competitivitate 2014-2020</w:t>
      </w:r>
    </w:p>
    <w:p w14:paraId="4B7D4014" w14:textId="77777777" w:rsidR="0008511C" w:rsidRPr="009C355B" w:rsidRDefault="0008511C" w:rsidP="0008511C">
      <w:pPr>
        <w:spacing w:after="0" w:line="240" w:lineRule="auto"/>
        <w:contextualSpacing/>
        <w:jc w:val="both"/>
      </w:pPr>
      <w:r w:rsidRPr="009C355B">
        <w:rPr>
          <w:b/>
        </w:rPr>
        <w:t>Axa Prioritara 4</w:t>
      </w:r>
      <w:r w:rsidRPr="009C355B">
        <w:t xml:space="preserve"> - Sprijinirea ameliorării efectelor provocate de criză în contextul pandemiei de COVID-19 și al consecințelor sale sociale și asupra pregătirii unei redresări verzi, digitale și reziliente a economie</w:t>
      </w:r>
    </w:p>
    <w:p w14:paraId="4A5D69ED" w14:textId="77777777" w:rsidR="0008511C" w:rsidRPr="009C355B" w:rsidRDefault="0008511C" w:rsidP="0008511C">
      <w:pPr>
        <w:spacing w:after="0" w:line="240" w:lineRule="auto"/>
        <w:contextualSpacing/>
        <w:jc w:val="both"/>
      </w:pPr>
      <w:r w:rsidRPr="009C355B">
        <w:rPr>
          <w:b/>
        </w:rPr>
        <w:t>Obiectiv Tematic</w:t>
      </w:r>
      <w:r w:rsidRPr="009C355B">
        <w:t xml:space="preserve"> - Sprijinirea ameliorării efectelor provocate de criză în contextul pandemiei de COVID-19 și al consecințelor sale sociale și pregătirea unei redresări verzi, digitale și reziliente a economiei</w:t>
      </w:r>
    </w:p>
    <w:p w14:paraId="5D893F09" w14:textId="77777777" w:rsidR="0008511C" w:rsidRPr="009C355B" w:rsidRDefault="0008511C" w:rsidP="0008511C">
      <w:pPr>
        <w:autoSpaceDE w:val="0"/>
        <w:autoSpaceDN w:val="0"/>
        <w:adjustRightInd w:val="0"/>
        <w:spacing w:after="0" w:line="240" w:lineRule="auto"/>
        <w:contextualSpacing/>
        <w:jc w:val="both"/>
      </w:pPr>
      <w:r w:rsidRPr="009C355B">
        <w:rPr>
          <w:b/>
        </w:rPr>
        <w:t>Prioritatea de investiții</w:t>
      </w:r>
      <w:r w:rsidRPr="009C355B">
        <w:t>: Sprijinirea capacității IMM-urilor de a crește pe piețele regionale, naționale și internaționale și de a se angaja în procesele de inovare.</w:t>
      </w:r>
    </w:p>
    <w:p w14:paraId="5169F253" w14:textId="01CEB576" w:rsidR="0008511C" w:rsidRPr="009C355B" w:rsidRDefault="0008511C" w:rsidP="0008511C">
      <w:pPr>
        <w:spacing w:after="0" w:line="240" w:lineRule="auto"/>
        <w:contextualSpacing/>
        <w:jc w:val="both"/>
      </w:pPr>
      <w:r w:rsidRPr="009C355B">
        <w:rPr>
          <w:b/>
        </w:rPr>
        <w:t xml:space="preserve">Obiectiv Specific: </w:t>
      </w:r>
      <w:r w:rsidRPr="009C355B">
        <w:t>Consolidarea poziției pe piață a IMM-urilor afectate de pandemia COVID-19.</w:t>
      </w:r>
    </w:p>
    <w:p w14:paraId="409D6FF6" w14:textId="59E6219C" w:rsidR="006F46C3" w:rsidRPr="009C355B" w:rsidRDefault="006F46C3"/>
    <w:p w14:paraId="74E0D804" w14:textId="77777777" w:rsidR="0008511C" w:rsidRPr="009C355B" w:rsidRDefault="0008511C" w:rsidP="0008511C">
      <w:pPr>
        <w:spacing w:before="120" w:after="0" w:line="240" w:lineRule="auto"/>
        <w:jc w:val="both"/>
      </w:pPr>
      <w:r w:rsidRPr="009C355B">
        <w:t xml:space="preserve">Apelul de proiecte pentru </w:t>
      </w:r>
      <w:r w:rsidRPr="009C355B">
        <w:rPr>
          <w:b/>
          <w:bCs/>
        </w:rPr>
        <w:t>“</w:t>
      </w:r>
      <w:r w:rsidRPr="009C355B">
        <w:rPr>
          <w:b/>
        </w:rPr>
        <w:t>Investiții în activități productive</w:t>
      </w:r>
      <w:r w:rsidRPr="009C355B">
        <w:rPr>
          <w:b/>
          <w:bCs/>
        </w:rPr>
        <w:t>”</w:t>
      </w:r>
      <w:r w:rsidRPr="009C355B">
        <w:t xml:space="preserve"> este unul competitiv, cu depunere continuă până la data închiderii apelulului. </w:t>
      </w:r>
    </w:p>
    <w:p w14:paraId="2D6794A6" w14:textId="77777777" w:rsidR="00A302F4" w:rsidRPr="009C355B" w:rsidRDefault="00A302F4" w:rsidP="0008511C">
      <w:pPr>
        <w:widowControl w:val="0"/>
        <w:autoSpaceDE w:val="0"/>
        <w:autoSpaceDN w:val="0"/>
        <w:adjustRightInd w:val="0"/>
        <w:spacing w:after="0" w:line="240" w:lineRule="auto"/>
        <w:ind w:right="-23"/>
        <w:jc w:val="both"/>
        <w:rPr>
          <w:b/>
          <w:kern w:val="2"/>
        </w:rPr>
      </w:pPr>
    </w:p>
    <w:p w14:paraId="5A506929" w14:textId="59DF345E" w:rsidR="00A95126" w:rsidRPr="009C355B" w:rsidRDefault="0008511C" w:rsidP="00A95126">
      <w:pPr>
        <w:spacing w:before="120" w:after="0" w:line="240" w:lineRule="auto"/>
        <w:jc w:val="both"/>
      </w:pPr>
      <w:r w:rsidRPr="009C355B">
        <w:rPr>
          <w:b/>
          <w:kern w:val="2"/>
        </w:rPr>
        <w:t>Prezentul tip de proiect se adresează IMM-urilor</w:t>
      </w:r>
      <w:r w:rsidRPr="009C355B">
        <w:rPr>
          <w:rFonts w:eastAsia="SimSun"/>
          <w:lang w:eastAsia="zh-CN"/>
        </w:rPr>
        <w:t>, ajutorul de stat acordându-se pentru granturi pentru investiții în activități productive.</w:t>
      </w:r>
      <w:r w:rsidR="00A302F4" w:rsidRPr="009C355B">
        <w:rPr>
          <w:rFonts w:eastAsia="SimSun"/>
          <w:lang w:eastAsia="zh-CN"/>
        </w:rPr>
        <w:t xml:space="preserve"> </w:t>
      </w:r>
      <w:r w:rsidRPr="009C355B">
        <w:t>Ajutorul se acordă în cadrul Programului Operațional Competitivitate (POC) 2014-2020, în conformitate cu schema de ajutor de stat Sprijin pentru IMM-uri în vederea depășirii crizei economice generate de pandemia de COVID-19 – investiții productive.</w:t>
      </w:r>
      <w:r w:rsidR="00A95126" w:rsidRPr="009C355B">
        <w:t xml:space="preserve"> Înregistrarea şi transmiterea cererilor de finanțare (proiectelor) se va face începând cu ora 9.00 a primei zile de deschidere a apelului în cadrul aplicației MySMIS.</w:t>
      </w:r>
    </w:p>
    <w:p w14:paraId="184EC7DE" w14:textId="18960A2C" w:rsidR="0008511C" w:rsidRPr="009C355B" w:rsidRDefault="0008511C" w:rsidP="00A302F4">
      <w:pPr>
        <w:widowControl w:val="0"/>
        <w:autoSpaceDE w:val="0"/>
        <w:autoSpaceDN w:val="0"/>
        <w:adjustRightInd w:val="0"/>
        <w:spacing w:after="0" w:line="240" w:lineRule="auto"/>
        <w:ind w:right="-23"/>
        <w:jc w:val="both"/>
      </w:pPr>
    </w:p>
    <w:p w14:paraId="66FD23AE" w14:textId="77777777" w:rsidR="0008511C" w:rsidRPr="009C355B" w:rsidRDefault="0008511C" w:rsidP="0008511C">
      <w:pPr>
        <w:widowControl w:val="0"/>
        <w:autoSpaceDE w:val="0"/>
        <w:autoSpaceDN w:val="0"/>
        <w:adjustRightInd w:val="0"/>
        <w:spacing w:after="0" w:line="240" w:lineRule="auto"/>
        <w:ind w:right="-23"/>
        <w:jc w:val="both"/>
      </w:pPr>
    </w:p>
    <w:p w14:paraId="6E886924" w14:textId="77777777" w:rsidR="0008511C" w:rsidRPr="009C355B" w:rsidRDefault="0008511C" w:rsidP="0008511C">
      <w:pPr>
        <w:tabs>
          <w:tab w:val="left" w:pos="2208"/>
        </w:tabs>
        <w:spacing w:after="0"/>
        <w:rPr>
          <w:b/>
        </w:rPr>
      </w:pPr>
      <w:r w:rsidRPr="009C355B">
        <w:rPr>
          <w:b/>
        </w:rPr>
        <w:t>Tipuri de activități eligibile</w:t>
      </w:r>
    </w:p>
    <w:p w14:paraId="023669EA" w14:textId="0E07C367" w:rsidR="0008511C" w:rsidRPr="009C355B" w:rsidRDefault="0008511C" w:rsidP="0008511C">
      <w:pPr>
        <w:pStyle w:val="ListParagraph"/>
        <w:numPr>
          <w:ilvl w:val="0"/>
          <w:numId w:val="1"/>
        </w:numPr>
        <w:jc w:val="both"/>
        <w:rPr>
          <w:sz w:val="22"/>
          <w:szCs w:val="22"/>
        </w:rPr>
      </w:pPr>
      <w:r w:rsidRPr="009C355B">
        <w:rPr>
          <w:sz w:val="22"/>
          <w:szCs w:val="22"/>
        </w:rPr>
        <w:t>Construirea/achiziția/extinderea spațiilor de producție/servicii – maxim 50% din valoarea proiectului;</w:t>
      </w:r>
    </w:p>
    <w:p w14:paraId="7C89F5C5" w14:textId="77777777" w:rsidR="0008511C" w:rsidRPr="009C355B" w:rsidRDefault="0008511C" w:rsidP="0008511C">
      <w:pPr>
        <w:pStyle w:val="ListParagraph"/>
        <w:numPr>
          <w:ilvl w:val="0"/>
          <w:numId w:val="1"/>
        </w:numPr>
        <w:jc w:val="both"/>
        <w:rPr>
          <w:sz w:val="22"/>
          <w:szCs w:val="22"/>
        </w:rPr>
      </w:pPr>
      <w:r w:rsidRPr="009C355B">
        <w:rPr>
          <w:sz w:val="22"/>
          <w:szCs w:val="22"/>
        </w:rPr>
        <w:t>Dotarea cu active corporale, necorporale.</w:t>
      </w:r>
    </w:p>
    <w:p w14:paraId="1E65A033" w14:textId="77777777" w:rsidR="0008511C" w:rsidRPr="009C355B" w:rsidRDefault="0008511C" w:rsidP="0008511C">
      <w:pPr>
        <w:pStyle w:val="Heading2"/>
        <w:rPr>
          <w:sz w:val="22"/>
          <w:szCs w:val="22"/>
        </w:rPr>
      </w:pPr>
      <w:r w:rsidRPr="009C355B">
        <w:rPr>
          <w:sz w:val="22"/>
          <w:szCs w:val="22"/>
        </w:rPr>
        <w:t>Grup țintă</w:t>
      </w:r>
    </w:p>
    <w:p w14:paraId="3BBF808C" w14:textId="668B7F20" w:rsidR="0008511C" w:rsidRPr="009C355B" w:rsidRDefault="0008511C" w:rsidP="00A302F4">
      <w:pPr>
        <w:spacing w:after="0"/>
      </w:pPr>
      <w:r w:rsidRPr="009C355B">
        <w:t>Grupul țintă este format din IMM-urile afectate de pandemia COVID-19</w:t>
      </w:r>
      <w:r w:rsidR="00A302F4" w:rsidRPr="009C355B">
        <w:t>.</w:t>
      </w:r>
    </w:p>
    <w:p w14:paraId="50E7A80C" w14:textId="77777777" w:rsidR="00A302F4" w:rsidRPr="009C355B" w:rsidRDefault="00A302F4" w:rsidP="00A302F4">
      <w:pPr>
        <w:pStyle w:val="NormalWeb"/>
        <w:spacing w:before="0" w:beforeAutospacing="0" w:after="0" w:afterAutospacing="0"/>
        <w:jc w:val="both"/>
        <w:rPr>
          <w:sz w:val="22"/>
          <w:szCs w:val="22"/>
          <w:lang w:val="ro-RO"/>
        </w:rPr>
      </w:pPr>
      <w:r w:rsidRPr="009C355B">
        <w:rPr>
          <w:b/>
          <w:bCs/>
          <w:sz w:val="22"/>
          <w:szCs w:val="22"/>
          <w:lang w:val="ro-RO"/>
        </w:rPr>
        <w:t>Beneficiarii sunt IMM-urile din România</w:t>
      </w:r>
      <w:r w:rsidRPr="009C355B">
        <w:rPr>
          <w:sz w:val="22"/>
          <w:szCs w:val="22"/>
          <w:lang w:val="ro-RO"/>
        </w:rPr>
        <w:t xml:space="preserve"> active în sectoarele</w:t>
      </w:r>
      <w:r w:rsidRPr="009C355B">
        <w:rPr>
          <w:rStyle w:val="FootnoteReference"/>
          <w:sz w:val="22"/>
          <w:szCs w:val="22"/>
          <w:lang w:val="ro-RO"/>
        </w:rPr>
        <w:footnoteReference w:id="1"/>
      </w:r>
      <w:r w:rsidRPr="009C355B">
        <w:rPr>
          <w:sz w:val="22"/>
          <w:szCs w:val="22"/>
          <w:lang w:val="ro-RO"/>
        </w:rPr>
        <w:t xml:space="preserve"> eligibile menţionate mai jos: </w:t>
      </w:r>
    </w:p>
    <w:p w14:paraId="6226B983"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 xml:space="preserve">Clasa C – Industria Prelucrătoare (fără codurile 11 fabricare băuturi, 12 fabricare tutun și 254 fabricarea armamentului și muniției); </w:t>
      </w:r>
    </w:p>
    <w:p w14:paraId="02A7B8AD"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F – Construcții;</w:t>
      </w:r>
    </w:p>
    <w:p w14:paraId="77646F67"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G – Comerț cu ridicata și cu amănuntul; Repararea autovehiculelor și motocicletelor;</w:t>
      </w:r>
    </w:p>
    <w:p w14:paraId="6312C937"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H – Transport și depozitare;</w:t>
      </w:r>
    </w:p>
    <w:p w14:paraId="62BE2B0E"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I – Hoteluri și restaurante;</w:t>
      </w:r>
    </w:p>
    <w:p w14:paraId="34869D64"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M – Activități profesionale, științifice și tehnice;</w:t>
      </w:r>
    </w:p>
    <w:p w14:paraId="2B50CEFC"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N – Activități de servicii administrative și de activități de servicii suport;</w:t>
      </w:r>
    </w:p>
    <w:p w14:paraId="5621623A"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P– Învățământ;</w:t>
      </w:r>
    </w:p>
    <w:p w14:paraId="59C22C40"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Q – Sănătate și asistență socială;</w:t>
      </w:r>
    </w:p>
    <w:p w14:paraId="092883A5" w14:textId="77777777" w:rsidR="00A302F4" w:rsidRPr="009C355B"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Clasa R – Activități de spectacole, culturale și recreative;</w:t>
      </w:r>
    </w:p>
    <w:p w14:paraId="724F1619" w14:textId="6E772905" w:rsidR="00A302F4" w:rsidRDefault="00A302F4" w:rsidP="00A302F4">
      <w:pPr>
        <w:pStyle w:val="NormalWeb"/>
        <w:numPr>
          <w:ilvl w:val="1"/>
          <w:numId w:val="4"/>
        </w:numPr>
        <w:spacing w:before="0" w:beforeAutospacing="0" w:after="0" w:afterAutospacing="0"/>
        <w:jc w:val="both"/>
        <w:rPr>
          <w:sz w:val="22"/>
          <w:szCs w:val="22"/>
          <w:lang w:val="ro-RO"/>
        </w:rPr>
      </w:pPr>
      <w:r w:rsidRPr="009C355B">
        <w:rPr>
          <w:sz w:val="22"/>
          <w:szCs w:val="22"/>
          <w:lang w:val="ro-RO"/>
        </w:rPr>
        <w:t xml:space="preserve">Clasa S – Alte activități de servicii. </w:t>
      </w:r>
    </w:p>
    <w:p w14:paraId="412D72EE" w14:textId="77777777" w:rsidR="00AB35E9" w:rsidRPr="00B940C2" w:rsidRDefault="00AB35E9" w:rsidP="00AB35E9">
      <w:pPr>
        <w:pStyle w:val="Heading2"/>
        <w:rPr>
          <w:sz w:val="22"/>
          <w:szCs w:val="22"/>
        </w:rPr>
      </w:pPr>
      <w:r w:rsidRPr="00B940C2">
        <w:rPr>
          <w:sz w:val="22"/>
          <w:szCs w:val="22"/>
        </w:rPr>
        <w:t>Tipul apelului de proiecte și perioada de depunere a propunerilor de proiecte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701"/>
        <w:gridCol w:w="1206"/>
        <w:gridCol w:w="3038"/>
      </w:tblGrid>
      <w:tr w:rsidR="00AB35E9" w:rsidRPr="00B940C2" w14:paraId="4DB78934" w14:textId="77777777" w:rsidTr="00AB35E9">
        <w:trPr>
          <w:trHeight w:val="357"/>
          <w:jc w:val="center"/>
        </w:trPr>
        <w:tc>
          <w:tcPr>
            <w:tcW w:w="2830" w:type="dxa"/>
          </w:tcPr>
          <w:p w14:paraId="20F520DF" w14:textId="77777777" w:rsidR="00AB35E9" w:rsidRPr="00B940C2" w:rsidRDefault="00AB35E9" w:rsidP="00755FFD">
            <w:pPr>
              <w:autoSpaceDE w:val="0"/>
              <w:autoSpaceDN w:val="0"/>
              <w:adjustRightInd w:val="0"/>
              <w:spacing w:before="100" w:beforeAutospacing="1" w:after="100" w:afterAutospacing="1"/>
              <w:contextualSpacing/>
              <w:jc w:val="both"/>
            </w:pPr>
            <w:r w:rsidRPr="00B940C2">
              <w:t>Tip proiect</w:t>
            </w:r>
          </w:p>
        </w:tc>
        <w:tc>
          <w:tcPr>
            <w:tcW w:w="1701" w:type="dxa"/>
          </w:tcPr>
          <w:p w14:paraId="76FACF45" w14:textId="77777777" w:rsidR="00AB35E9" w:rsidRPr="00B940C2" w:rsidRDefault="00AB35E9" w:rsidP="00755FFD">
            <w:pPr>
              <w:autoSpaceDE w:val="0"/>
              <w:autoSpaceDN w:val="0"/>
              <w:adjustRightInd w:val="0"/>
              <w:spacing w:before="100" w:beforeAutospacing="1" w:after="100" w:afterAutospacing="1"/>
              <w:contextualSpacing/>
              <w:jc w:val="center"/>
            </w:pPr>
            <w:r w:rsidRPr="00B940C2">
              <w:t>Tip depunere</w:t>
            </w:r>
          </w:p>
        </w:tc>
        <w:tc>
          <w:tcPr>
            <w:tcW w:w="1206" w:type="dxa"/>
          </w:tcPr>
          <w:p w14:paraId="0EEE761E" w14:textId="77777777" w:rsidR="00AB35E9" w:rsidRPr="00B940C2" w:rsidRDefault="00AB35E9" w:rsidP="00755FFD">
            <w:pPr>
              <w:autoSpaceDE w:val="0"/>
              <w:autoSpaceDN w:val="0"/>
              <w:adjustRightInd w:val="0"/>
              <w:spacing w:before="100" w:beforeAutospacing="1" w:after="100" w:afterAutospacing="1"/>
              <w:contextualSpacing/>
              <w:jc w:val="center"/>
            </w:pPr>
            <w:r w:rsidRPr="00B940C2">
              <w:t>Competitiv</w:t>
            </w:r>
          </w:p>
        </w:tc>
        <w:tc>
          <w:tcPr>
            <w:tcW w:w="3038" w:type="dxa"/>
          </w:tcPr>
          <w:p w14:paraId="6D360DAD" w14:textId="77777777" w:rsidR="00AB35E9" w:rsidRPr="00B940C2" w:rsidRDefault="00AB35E9" w:rsidP="00755FFD">
            <w:pPr>
              <w:autoSpaceDE w:val="0"/>
              <w:autoSpaceDN w:val="0"/>
              <w:adjustRightInd w:val="0"/>
              <w:spacing w:before="100" w:beforeAutospacing="1" w:after="100" w:afterAutospacing="1"/>
              <w:contextualSpacing/>
              <w:jc w:val="center"/>
            </w:pPr>
            <w:r w:rsidRPr="00B940C2">
              <w:t>Perioada</w:t>
            </w:r>
          </w:p>
        </w:tc>
      </w:tr>
      <w:tr w:rsidR="00AB35E9" w:rsidRPr="00B940C2" w14:paraId="15554064" w14:textId="77777777" w:rsidTr="00AB35E9">
        <w:trPr>
          <w:jc w:val="center"/>
        </w:trPr>
        <w:tc>
          <w:tcPr>
            <w:tcW w:w="2830" w:type="dxa"/>
          </w:tcPr>
          <w:p w14:paraId="33FCD792" w14:textId="6EA1DED2" w:rsidR="00AB35E9" w:rsidRPr="00B940C2" w:rsidRDefault="00AB35E9" w:rsidP="00AB35E9">
            <w:pPr>
              <w:spacing w:before="100" w:beforeAutospacing="1" w:after="100" w:afterAutospacing="1"/>
              <w:contextualSpacing/>
              <w:jc w:val="both"/>
            </w:pPr>
            <w:r w:rsidRPr="00B940C2">
              <w:rPr>
                <w:b/>
                <w:bCs/>
              </w:rPr>
              <w:t>“</w:t>
            </w:r>
            <w:r w:rsidRPr="00B940C2">
              <w:rPr>
                <w:b/>
              </w:rPr>
              <w:t>Investiții în activități productive</w:t>
            </w:r>
            <w:r w:rsidRPr="00B940C2">
              <w:rPr>
                <w:b/>
                <w:bCs/>
              </w:rPr>
              <w:t>”</w:t>
            </w:r>
          </w:p>
        </w:tc>
        <w:tc>
          <w:tcPr>
            <w:tcW w:w="1701" w:type="dxa"/>
          </w:tcPr>
          <w:p w14:paraId="05E6D5A8" w14:textId="77777777" w:rsidR="00AB35E9" w:rsidRPr="00B940C2" w:rsidRDefault="00AB35E9" w:rsidP="00755FFD">
            <w:pPr>
              <w:autoSpaceDE w:val="0"/>
              <w:autoSpaceDN w:val="0"/>
              <w:adjustRightInd w:val="0"/>
              <w:spacing w:before="100" w:beforeAutospacing="1" w:after="100" w:afterAutospacing="1"/>
              <w:contextualSpacing/>
              <w:jc w:val="center"/>
            </w:pPr>
            <w:r>
              <w:t>Continuă</w:t>
            </w:r>
          </w:p>
        </w:tc>
        <w:tc>
          <w:tcPr>
            <w:tcW w:w="1206" w:type="dxa"/>
          </w:tcPr>
          <w:p w14:paraId="039F4ACD" w14:textId="77777777" w:rsidR="00AB35E9" w:rsidRPr="00B940C2" w:rsidRDefault="00AB35E9" w:rsidP="00755FFD">
            <w:pPr>
              <w:autoSpaceDE w:val="0"/>
              <w:autoSpaceDN w:val="0"/>
              <w:adjustRightInd w:val="0"/>
              <w:spacing w:before="100" w:beforeAutospacing="1" w:after="100" w:afterAutospacing="1"/>
              <w:contextualSpacing/>
              <w:jc w:val="center"/>
            </w:pPr>
            <w:r w:rsidRPr="00B940C2">
              <w:t>DA</w:t>
            </w:r>
          </w:p>
        </w:tc>
        <w:tc>
          <w:tcPr>
            <w:tcW w:w="3038" w:type="dxa"/>
          </w:tcPr>
          <w:p w14:paraId="110559DD" w14:textId="77777777" w:rsidR="00AB35E9" w:rsidRPr="00B940C2" w:rsidRDefault="00AB35E9" w:rsidP="00755FFD">
            <w:pPr>
              <w:autoSpaceDE w:val="0"/>
              <w:autoSpaceDN w:val="0"/>
              <w:adjustRightInd w:val="0"/>
              <w:spacing w:before="100" w:beforeAutospacing="1" w:after="100" w:afterAutospacing="1"/>
              <w:contextualSpacing/>
              <w:jc w:val="center"/>
            </w:pPr>
            <w:r w:rsidRPr="00B940C2">
              <w:t>30 de zile calendaristice după lansarea apelului în MySMIS</w:t>
            </w:r>
          </w:p>
        </w:tc>
      </w:tr>
    </w:tbl>
    <w:p w14:paraId="6C6D88FE" w14:textId="77777777" w:rsidR="00AB35E9" w:rsidRPr="009C355B" w:rsidRDefault="00AB35E9" w:rsidP="00AB35E9">
      <w:pPr>
        <w:pStyle w:val="NormalWeb"/>
        <w:spacing w:before="0" w:beforeAutospacing="0" w:after="0" w:afterAutospacing="0"/>
        <w:ind w:left="1440"/>
        <w:jc w:val="both"/>
        <w:rPr>
          <w:sz w:val="22"/>
          <w:szCs w:val="22"/>
          <w:lang w:val="ro-RO"/>
        </w:rPr>
      </w:pPr>
    </w:p>
    <w:p w14:paraId="098CF8D2" w14:textId="63A44137" w:rsidR="0008511C" w:rsidRPr="009C355B" w:rsidRDefault="0008511C" w:rsidP="0008511C">
      <w:pPr>
        <w:pStyle w:val="Heading2"/>
        <w:rPr>
          <w:sz w:val="22"/>
          <w:szCs w:val="22"/>
        </w:rPr>
      </w:pPr>
      <w:bookmarkStart w:id="0" w:name="_Toc495913398"/>
      <w:bookmarkStart w:id="1" w:name="_Toc506362199"/>
      <w:bookmarkStart w:id="2" w:name="_Toc74560914"/>
      <w:bookmarkStart w:id="3" w:name="_Toc82176361"/>
      <w:r w:rsidRPr="009C355B">
        <w:rPr>
          <w:sz w:val="22"/>
          <w:szCs w:val="22"/>
        </w:rPr>
        <w:t>Alocarea stabilitã pentru apelul de proiecte</w:t>
      </w:r>
      <w:bookmarkEnd w:id="0"/>
      <w:bookmarkEnd w:id="1"/>
      <w:bookmarkEnd w:id="2"/>
      <w:bookmarkEnd w:id="3"/>
      <w:r w:rsidRPr="009C355B">
        <w:rPr>
          <w:sz w:val="22"/>
          <w:szCs w:val="22"/>
        </w:rPr>
        <w:t xml:space="preserve"> </w:t>
      </w:r>
    </w:p>
    <w:p w14:paraId="00324E8F" w14:textId="77777777" w:rsidR="0008511C" w:rsidRPr="009C355B" w:rsidRDefault="0008511C" w:rsidP="0008511C">
      <w:pPr>
        <w:pStyle w:val="NormalWeb"/>
        <w:spacing w:before="0" w:beforeAutospacing="0" w:after="0" w:afterAutospacing="0"/>
        <w:jc w:val="both"/>
        <w:rPr>
          <w:sz w:val="22"/>
          <w:szCs w:val="22"/>
          <w:lang w:val="ro-RO"/>
        </w:rPr>
      </w:pPr>
      <w:r w:rsidRPr="009C355B">
        <w:rPr>
          <w:sz w:val="22"/>
          <w:szCs w:val="22"/>
          <w:lang w:val="ro-RO"/>
        </w:rPr>
        <w:t>Bugetul total alocat este echivalentul în lei a sumei de  358.384.803,64 euro, din care 300.000.000,00 euro FEDR şi  58.384.803,64 euro fonduri de la bugetul de stat, la cursul inforeuro din luna septembrie 2021.</w:t>
      </w:r>
    </w:p>
    <w:p w14:paraId="0192DA04" w14:textId="1546C9DE" w:rsidR="0008511C" w:rsidRPr="009C355B" w:rsidRDefault="0008511C" w:rsidP="00A302F4">
      <w:pPr>
        <w:pStyle w:val="Heading2"/>
        <w:spacing w:before="0" w:line="240" w:lineRule="auto"/>
        <w:rPr>
          <w:sz w:val="22"/>
          <w:szCs w:val="22"/>
        </w:rPr>
      </w:pPr>
      <w:bookmarkStart w:id="4" w:name="_Toc495913399"/>
      <w:bookmarkStart w:id="5" w:name="_Toc506362200"/>
      <w:bookmarkStart w:id="6" w:name="_Toc74560915"/>
      <w:bookmarkStart w:id="7" w:name="_Toc20991909"/>
      <w:bookmarkStart w:id="8" w:name="_Toc82176362"/>
      <w:r w:rsidRPr="009C355B">
        <w:rPr>
          <w:sz w:val="22"/>
          <w:szCs w:val="22"/>
        </w:rPr>
        <w:lastRenderedPageBreak/>
        <w:t>Valoarea maximă a ajutorului de stat</w:t>
      </w:r>
      <w:bookmarkEnd w:id="4"/>
      <w:bookmarkEnd w:id="5"/>
      <w:bookmarkEnd w:id="6"/>
      <w:bookmarkEnd w:id="7"/>
      <w:bookmarkEnd w:id="8"/>
    </w:p>
    <w:p w14:paraId="79C28A04" w14:textId="5ED76D59" w:rsidR="0008511C" w:rsidRPr="009C355B" w:rsidRDefault="0008511C" w:rsidP="00A302F4">
      <w:pPr>
        <w:autoSpaceDE w:val="0"/>
        <w:autoSpaceDN w:val="0"/>
        <w:adjustRightInd w:val="0"/>
        <w:spacing w:after="0" w:line="240" w:lineRule="auto"/>
        <w:jc w:val="both"/>
        <w:rPr>
          <w:rFonts w:eastAsia="SimSun"/>
          <w:lang w:eastAsia="zh-CN"/>
        </w:rPr>
      </w:pPr>
      <w:bookmarkStart w:id="9" w:name="_Toc20991910"/>
      <w:r w:rsidRPr="009C355B">
        <w:rPr>
          <w:rFonts w:eastAsia="SimSun"/>
          <w:lang w:eastAsia="zh-CN"/>
        </w:rPr>
        <w:t xml:space="preserve">Valoarea maximă a ajutorului (finanțării publice nerambursabile) este echivalentul în lei al sumei de 1.000.000 euro, </w:t>
      </w:r>
      <w:r w:rsidRPr="009C355B">
        <w:t>la cursul inforeuro din luna septembrie 2021.</w:t>
      </w:r>
    </w:p>
    <w:p w14:paraId="6F83CE55" w14:textId="77777777" w:rsidR="00A302F4" w:rsidRPr="009C355B" w:rsidRDefault="00A302F4" w:rsidP="00A302F4">
      <w:pPr>
        <w:pStyle w:val="Heading2"/>
        <w:spacing w:before="0" w:line="240" w:lineRule="auto"/>
        <w:rPr>
          <w:sz w:val="22"/>
          <w:szCs w:val="22"/>
        </w:rPr>
      </w:pPr>
      <w:bookmarkStart w:id="10" w:name="_Toc498599263"/>
      <w:bookmarkStart w:id="11" w:name="_Toc74560916"/>
      <w:bookmarkStart w:id="12" w:name="_Toc82176363"/>
    </w:p>
    <w:p w14:paraId="21872F1A" w14:textId="3106DE1D" w:rsidR="0008511C" w:rsidRPr="009C355B" w:rsidRDefault="0008511C" w:rsidP="00A302F4">
      <w:pPr>
        <w:pStyle w:val="Heading2"/>
        <w:spacing w:before="0" w:line="240" w:lineRule="auto"/>
        <w:rPr>
          <w:sz w:val="22"/>
          <w:szCs w:val="22"/>
        </w:rPr>
      </w:pPr>
      <w:r w:rsidRPr="009C355B">
        <w:rPr>
          <w:sz w:val="22"/>
          <w:szCs w:val="22"/>
        </w:rPr>
        <w:t>Durata de implementare a proiectelor</w:t>
      </w:r>
      <w:bookmarkEnd w:id="9"/>
      <w:bookmarkEnd w:id="10"/>
      <w:bookmarkEnd w:id="11"/>
      <w:bookmarkEnd w:id="12"/>
    </w:p>
    <w:p w14:paraId="5A26B057" w14:textId="77777777" w:rsidR="0008511C" w:rsidRPr="009C355B" w:rsidRDefault="0008511C" w:rsidP="00A302F4">
      <w:pPr>
        <w:spacing w:after="0" w:line="240" w:lineRule="auto"/>
        <w:ind w:right="90"/>
        <w:contextualSpacing/>
        <w:jc w:val="both"/>
      </w:pPr>
      <w:r w:rsidRPr="009C355B">
        <w:t xml:space="preserve">Durata proiectului este de maximum </w:t>
      </w:r>
      <w:r w:rsidRPr="009C355B">
        <w:rPr>
          <w:b/>
        </w:rPr>
        <w:t xml:space="preserve">24 de luni </w:t>
      </w:r>
      <w:r w:rsidRPr="009C355B">
        <w:t>fără a</w:t>
      </w:r>
      <w:r w:rsidRPr="009C355B">
        <w:rPr>
          <w:b/>
        </w:rPr>
        <w:t xml:space="preserve"> </w:t>
      </w:r>
      <w:r w:rsidRPr="009C355B">
        <w:t xml:space="preserve">depăși data de </w:t>
      </w:r>
      <w:r w:rsidRPr="009C355B">
        <w:rPr>
          <w:b/>
        </w:rPr>
        <w:t>31 decembrie 2023</w:t>
      </w:r>
      <w:r w:rsidRPr="009C355B">
        <w:t>.</w:t>
      </w:r>
    </w:p>
    <w:p w14:paraId="19BD3B37" w14:textId="77777777" w:rsidR="00A95126" w:rsidRPr="009C355B" w:rsidRDefault="00A95126" w:rsidP="00A302F4">
      <w:pPr>
        <w:spacing w:after="0" w:line="240" w:lineRule="auto"/>
        <w:rPr>
          <w:b/>
        </w:rPr>
      </w:pPr>
    </w:p>
    <w:p w14:paraId="1D80A258" w14:textId="62E8D842" w:rsidR="00A302F4" w:rsidRPr="009C355B" w:rsidRDefault="00A302F4" w:rsidP="00A302F4">
      <w:pPr>
        <w:spacing w:after="0" w:line="240" w:lineRule="auto"/>
        <w:rPr>
          <w:b/>
        </w:rPr>
      </w:pPr>
      <w:r w:rsidRPr="009C355B">
        <w:rPr>
          <w:b/>
        </w:rPr>
        <w:t>Eligibilitatea solicitantului</w:t>
      </w:r>
    </w:p>
    <w:p w14:paraId="7E6F8D6D" w14:textId="13E9BE61" w:rsidR="00A302F4" w:rsidRPr="009C355B" w:rsidRDefault="00A302F4" w:rsidP="00A302F4">
      <w:pPr>
        <w:pStyle w:val="ListParagraph"/>
        <w:spacing w:after="0" w:line="240" w:lineRule="auto"/>
        <w:ind w:left="0"/>
        <w:jc w:val="both"/>
        <w:rPr>
          <w:sz w:val="22"/>
          <w:szCs w:val="22"/>
        </w:rPr>
      </w:pPr>
      <w:r w:rsidRPr="009C355B">
        <w:rPr>
          <w:sz w:val="22"/>
          <w:szCs w:val="22"/>
        </w:rPr>
        <w:t>Solicitantul trebuie să facă dovada îndeplinirii următoarelor:</w:t>
      </w:r>
    </w:p>
    <w:p w14:paraId="18917D58" w14:textId="77777777" w:rsidR="00A302F4" w:rsidRPr="009C355B" w:rsidRDefault="00A302F4" w:rsidP="00A302F4">
      <w:pPr>
        <w:pStyle w:val="ListParagraph"/>
        <w:spacing w:before="100" w:beforeAutospacing="1" w:after="100" w:afterAutospacing="1" w:line="240" w:lineRule="auto"/>
        <w:jc w:val="both"/>
        <w:rPr>
          <w:sz w:val="22"/>
          <w:szCs w:val="22"/>
          <w:highlight w:val="yellow"/>
        </w:rPr>
      </w:pPr>
    </w:p>
    <w:p w14:paraId="20825E6E" w14:textId="77777777" w:rsidR="00A302F4" w:rsidRPr="009C355B" w:rsidRDefault="00A302F4" w:rsidP="00A302F4">
      <w:pPr>
        <w:pStyle w:val="ListParagraph"/>
        <w:numPr>
          <w:ilvl w:val="1"/>
          <w:numId w:val="2"/>
        </w:numPr>
        <w:spacing w:before="100" w:beforeAutospacing="1" w:after="100" w:afterAutospacing="1" w:line="240" w:lineRule="auto"/>
        <w:ind w:left="709" w:hanging="425"/>
        <w:jc w:val="both"/>
        <w:rPr>
          <w:iCs/>
          <w:noProof/>
          <w:color w:val="000000" w:themeColor="text1"/>
          <w:sz w:val="22"/>
          <w:szCs w:val="22"/>
        </w:rPr>
      </w:pPr>
      <w:r w:rsidRPr="009C355B">
        <w:rPr>
          <w:iCs/>
          <w:noProof/>
          <w:color w:val="000000" w:themeColor="text1"/>
          <w:sz w:val="22"/>
          <w:szCs w:val="22"/>
        </w:rPr>
        <w:t xml:space="preserve">Solicitantul nu se află în stare de faliment sau lichidare, afacerile sale nu sunt administrate de către un judecător sindic sau activitățile sale comerciale nu sunt suspendate ori nu fac obiectul unui aranjament cu creditorii sau nu este într-o situație similară cu cele anterioare, reglementată prin lege; </w:t>
      </w:r>
    </w:p>
    <w:p w14:paraId="446D640C" w14:textId="77777777" w:rsidR="00A302F4" w:rsidRPr="009C355B" w:rsidRDefault="00A302F4" w:rsidP="00A302F4">
      <w:pPr>
        <w:pStyle w:val="ListParagraph"/>
        <w:numPr>
          <w:ilvl w:val="1"/>
          <w:numId w:val="2"/>
        </w:numPr>
        <w:spacing w:after="0" w:line="240" w:lineRule="auto"/>
        <w:ind w:left="709" w:hanging="425"/>
        <w:jc w:val="both"/>
        <w:rPr>
          <w:iCs/>
          <w:noProof/>
          <w:color w:val="000000" w:themeColor="text1"/>
          <w:sz w:val="22"/>
          <w:szCs w:val="22"/>
        </w:rPr>
      </w:pPr>
      <w:r w:rsidRPr="009C355B">
        <w:rPr>
          <w:iCs/>
          <w:noProof/>
          <w:color w:val="000000" w:themeColor="text1"/>
          <w:sz w:val="22"/>
          <w:szCs w:val="22"/>
        </w:rPr>
        <w:t>Reprezentantul legal al solicitantului nu a fost condamnat în ultimii 3 ani, prin hotărâre definitivă a unei instanțe judecătorești, pentru o faptă care a adus atingere eticii profesionale sau pentru comiterea unei greșeli în materie profesională (se verifică pe baza cazierului judiciar, în etapa de contractare a proiectului);</w:t>
      </w:r>
    </w:p>
    <w:p w14:paraId="33A40224" w14:textId="77777777" w:rsidR="00A302F4" w:rsidRPr="009C355B" w:rsidRDefault="00A302F4" w:rsidP="00A302F4">
      <w:pPr>
        <w:pStyle w:val="ListParagraph"/>
        <w:numPr>
          <w:ilvl w:val="1"/>
          <w:numId w:val="2"/>
        </w:numPr>
        <w:spacing w:after="0" w:line="240" w:lineRule="auto"/>
        <w:ind w:left="709" w:hanging="425"/>
        <w:jc w:val="both"/>
        <w:rPr>
          <w:iCs/>
          <w:noProof/>
          <w:color w:val="000000" w:themeColor="text1"/>
          <w:sz w:val="22"/>
          <w:szCs w:val="22"/>
        </w:rPr>
      </w:pPr>
      <w:r w:rsidRPr="009C355B">
        <w:rPr>
          <w:iCs/>
          <w:noProof/>
          <w:color w:val="000000" w:themeColor="text1"/>
          <w:sz w:val="22"/>
          <w:szCs w:val="22"/>
        </w:rPr>
        <w:t>Reprezentantul legal al solicitantului nu a fost subiectul unei judecăți de tip judecată pentru fraudă, corupție, implicarea în organizații criminale sau în alte activități ilegale, în detrimentul intereselor financiare ale Uniunii Europene;</w:t>
      </w:r>
    </w:p>
    <w:p w14:paraId="35F2FA7E" w14:textId="09395779" w:rsidR="00A302F4" w:rsidRPr="009C355B" w:rsidRDefault="00A302F4" w:rsidP="00A302F4">
      <w:pPr>
        <w:pStyle w:val="ListParagraph"/>
        <w:numPr>
          <w:ilvl w:val="1"/>
          <w:numId w:val="2"/>
        </w:numPr>
        <w:spacing w:after="0" w:line="240" w:lineRule="auto"/>
        <w:ind w:left="709" w:hanging="425"/>
        <w:jc w:val="both"/>
        <w:rPr>
          <w:iCs/>
          <w:noProof/>
          <w:color w:val="000000" w:themeColor="text1"/>
          <w:sz w:val="22"/>
          <w:szCs w:val="22"/>
        </w:rPr>
      </w:pPr>
      <w:r w:rsidRPr="009C355B">
        <w:rPr>
          <w:iCs/>
          <w:noProof/>
          <w:color w:val="000000" w:themeColor="text1"/>
          <w:sz w:val="22"/>
          <w:szCs w:val="22"/>
        </w:rPr>
        <w:t xml:space="preserve">Solicitantul nu face obiectul unui ordin de recuperare neexecutat în urma unei decizii anterioare a Consiliului Concurenței sau a Comisiei, prin care un ajutor de stat a fost declarat ilegal și incompatibil </w:t>
      </w:r>
      <w:r w:rsidRPr="009C355B">
        <w:rPr>
          <w:iCs/>
          <w:noProof/>
          <w:color w:val="000000" w:themeColor="text1"/>
          <w:sz w:val="22"/>
          <w:szCs w:val="22"/>
        </w:rPr>
        <w:tab/>
        <w:t>cu piața internă;</w:t>
      </w:r>
    </w:p>
    <w:p w14:paraId="45807E54" w14:textId="77777777" w:rsidR="00A302F4" w:rsidRPr="009C355B" w:rsidRDefault="00A302F4" w:rsidP="00A302F4">
      <w:pPr>
        <w:pStyle w:val="ListParagraph"/>
        <w:numPr>
          <w:ilvl w:val="1"/>
          <w:numId w:val="2"/>
        </w:numPr>
        <w:spacing w:after="0" w:line="240" w:lineRule="auto"/>
        <w:ind w:left="709" w:hanging="425"/>
        <w:jc w:val="both"/>
        <w:rPr>
          <w:i/>
          <w:iCs/>
          <w:noProof/>
          <w:color w:val="000000" w:themeColor="text1"/>
          <w:sz w:val="22"/>
          <w:szCs w:val="22"/>
        </w:rPr>
      </w:pPr>
      <w:r w:rsidRPr="009C355B">
        <w:rPr>
          <w:iCs/>
          <w:noProof/>
          <w:color w:val="000000" w:themeColor="text1"/>
          <w:sz w:val="22"/>
          <w:szCs w:val="22"/>
        </w:rPr>
        <w:t xml:space="preserve">Solicitantul nu este  întreprindere în dificultate în anul 2019, în conformitate cu prevederile art. 2, punctul 18 din Regulamentul (UE) nr. 651/2014; </w:t>
      </w:r>
    </w:p>
    <w:p w14:paraId="6D7B2C16" w14:textId="48009CB6" w:rsidR="00A302F4" w:rsidRPr="009C355B" w:rsidRDefault="00A302F4" w:rsidP="00A302F4">
      <w:pPr>
        <w:pStyle w:val="ListParagraph"/>
        <w:numPr>
          <w:ilvl w:val="1"/>
          <w:numId w:val="2"/>
        </w:numPr>
        <w:spacing w:after="0" w:line="240" w:lineRule="auto"/>
        <w:ind w:left="709" w:hanging="425"/>
        <w:jc w:val="both"/>
        <w:rPr>
          <w:iCs/>
          <w:noProof/>
          <w:color w:val="000000" w:themeColor="text1"/>
          <w:sz w:val="22"/>
          <w:szCs w:val="22"/>
        </w:rPr>
      </w:pPr>
      <w:r w:rsidRPr="009C355B">
        <w:rPr>
          <w:noProof/>
          <w:color w:val="000000" w:themeColor="text1"/>
          <w:sz w:val="22"/>
          <w:szCs w:val="22"/>
        </w:rPr>
        <w:t xml:space="preserve">Solicitantul nu a </w:t>
      </w:r>
      <w:r w:rsidRPr="009C355B">
        <w:rPr>
          <w:iCs/>
          <w:noProof/>
          <w:color w:val="000000" w:themeColor="text1"/>
          <w:sz w:val="22"/>
          <w:szCs w:val="22"/>
        </w:rPr>
        <w:t>mai beneficiat de sprijin financiar din fonduri publice, inclusiv fonduri U</w:t>
      </w:r>
      <w:r w:rsidR="00974D6B">
        <w:rPr>
          <w:iCs/>
          <w:noProof/>
          <w:color w:val="000000" w:themeColor="text1"/>
          <w:sz w:val="22"/>
          <w:szCs w:val="22"/>
        </w:rPr>
        <w:t xml:space="preserve"> </w:t>
      </w:r>
      <w:r w:rsidRPr="009C355B">
        <w:rPr>
          <w:iCs/>
          <w:noProof/>
          <w:color w:val="000000" w:themeColor="text1"/>
          <w:sz w:val="22"/>
          <w:szCs w:val="22"/>
        </w:rPr>
        <w:t xml:space="preserve">E, în ultimii 5 ani, sau nu derulează proiecte finanțate în prezent, parțial sau în totalitate, din alte surse publice, pentru aceleși activități. </w:t>
      </w:r>
    </w:p>
    <w:p w14:paraId="16E586C2" w14:textId="250D8268" w:rsidR="00A302F4" w:rsidRPr="009C355B" w:rsidRDefault="00A302F4" w:rsidP="00A95126">
      <w:pPr>
        <w:jc w:val="both"/>
        <w:rPr>
          <w:b/>
        </w:rPr>
      </w:pPr>
    </w:p>
    <w:p w14:paraId="3DA41F48" w14:textId="18FE744B" w:rsidR="00A95126" w:rsidRPr="009C355B" w:rsidRDefault="00A95126" w:rsidP="00A95126">
      <w:pPr>
        <w:spacing w:before="120" w:after="0" w:line="240" w:lineRule="auto"/>
        <w:jc w:val="both"/>
        <w:rPr>
          <w:b/>
        </w:rPr>
      </w:pPr>
      <w:r w:rsidRPr="009C355B">
        <w:rPr>
          <w:b/>
        </w:rPr>
        <w:t xml:space="preserve">Cererile de finanţare se vor depune prin aplicaţia electronică MySMIS2014, cu toate anexele solicitate prin Ghidul Solicitantului. Modalităţile de utilizare a aplicaţiei MySMIS2014 sunt publicate pe site-urile  </w:t>
      </w:r>
      <w:hyperlink r:id="rId7" w:history="1">
        <w:r w:rsidRPr="009C355B">
          <w:rPr>
            <w:rStyle w:val="Hyperlink"/>
            <w:b/>
          </w:rPr>
          <w:t>https://2014.mysmis.ro</w:t>
        </w:r>
      </w:hyperlink>
      <w:r w:rsidRPr="009C355B">
        <w:rPr>
          <w:b/>
        </w:rPr>
        <w:t xml:space="preserve"> şi </w:t>
      </w:r>
      <w:hyperlink r:id="rId8" w:history="1">
        <w:r w:rsidRPr="009C355B">
          <w:rPr>
            <w:rStyle w:val="Hyperlink"/>
            <w:b/>
          </w:rPr>
          <w:t>www.mfe.gov.ro</w:t>
        </w:r>
      </w:hyperlink>
      <w:r w:rsidRPr="009C355B">
        <w:rPr>
          <w:b/>
        </w:rPr>
        <w:t>.</w:t>
      </w:r>
    </w:p>
    <w:p w14:paraId="267E9723" w14:textId="26DD14C2" w:rsidR="00A95126" w:rsidRPr="009C355B" w:rsidRDefault="00A95126" w:rsidP="00A95126">
      <w:pPr>
        <w:spacing w:after="0"/>
        <w:jc w:val="both"/>
      </w:pPr>
      <w:r w:rsidRPr="009C355B">
        <w:t>Odată cu înregistrarea solicitantului, este necesară completarea tuturor câmpurilor, întrucât informaţiile din această secţiune sunt esenţiale pentru verificarea eligibilităţii solicitantului sau pentru evaluarea tehnico-economică.</w:t>
      </w:r>
    </w:p>
    <w:p w14:paraId="235089A1" w14:textId="1B8F1984" w:rsidR="00A95126" w:rsidRPr="009C355B" w:rsidRDefault="00A95126" w:rsidP="00C65F1D">
      <w:pPr>
        <w:spacing w:after="0"/>
        <w:jc w:val="both"/>
        <w:rPr>
          <w:b/>
        </w:rPr>
      </w:pPr>
      <w:r w:rsidRPr="009C355B">
        <w:rPr>
          <w:b/>
        </w:rPr>
        <w:t xml:space="preserve"> Ghidul solicitantului il puteti accesa</w:t>
      </w:r>
      <w:r w:rsidR="00C65F1D">
        <w:rPr>
          <w:b/>
        </w:rPr>
        <w:t xml:space="preserve"> folosind link.ul urmator: </w:t>
      </w:r>
      <w:r w:rsidRPr="009C355B">
        <w:rPr>
          <w:b/>
        </w:rPr>
        <w:t xml:space="preserve"> </w:t>
      </w:r>
      <w:hyperlink r:id="rId9" w:history="1">
        <w:r w:rsidR="00C65F1D" w:rsidRPr="00C65F1D">
          <w:rPr>
            <w:rStyle w:val="Hyperlink"/>
            <w:b/>
          </w:rPr>
          <w:t>https://mfe.gov.ro/wp-content/uploads/2021/09/17f283edae42b8f06cd9dc924e704394.docx</w:t>
        </w:r>
      </w:hyperlink>
      <w:bookmarkStart w:id="13" w:name="_GoBack"/>
      <w:bookmarkEnd w:id="13"/>
    </w:p>
    <w:sectPr w:rsidR="00A95126" w:rsidRPr="009C355B" w:rsidSect="00A302F4">
      <w:pgSz w:w="11906" w:h="16838"/>
      <w:pgMar w:top="709" w:right="99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00AB" w14:textId="77777777" w:rsidR="003E20C2" w:rsidRDefault="003E20C2" w:rsidP="0008511C">
      <w:pPr>
        <w:spacing w:after="0" w:line="240" w:lineRule="auto"/>
      </w:pPr>
      <w:r>
        <w:separator/>
      </w:r>
    </w:p>
  </w:endnote>
  <w:endnote w:type="continuationSeparator" w:id="0">
    <w:p w14:paraId="7A9DCA5F" w14:textId="77777777" w:rsidR="003E20C2" w:rsidRDefault="003E20C2" w:rsidP="0008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3754" w14:textId="77777777" w:rsidR="003E20C2" w:rsidRDefault="003E20C2" w:rsidP="0008511C">
      <w:pPr>
        <w:spacing w:after="0" w:line="240" w:lineRule="auto"/>
      </w:pPr>
      <w:r>
        <w:separator/>
      </w:r>
    </w:p>
  </w:footnote>
  <w:footnote w:type="continuationSeparator" w:id="0">
    <w:p w14:paraId="77849009" w14:textId="77777777" w:rsidR="003E20C2" w:rsidRDefault="003E20C2" w:rsidP="0008511C">
      <w:pPr>
        <w:spacing w:after="0" w:line="240" w:lineRule="auto"/>
      </w:pPr>
      <w:r>
        <w:continuationSeparator/>
      </w:r>
    </w:p>
  </w:footnote>
  <w:footnote w:id="1">
    <w:p w14:paraId="5F0FB005" w14:textId="77777777" w:rsidR="00A302F4" w:rsidRPr="0038128B" w:rsidRDefault="00A302F4" w:rsidP="00A302F4">
      <w:pPr>
        <w:pStyle w:val="FootnoteText"/>
        <w:rPr>
          <w:lang w:val="ro-RO"/>
        </w:rPr>
      </w:pPr>
      <w:r>
        <w:rPr>
          <w:rStyle w:val="FootnoteReference"/>
        </w:rPr>
        <w:footnoteRef/>
      </w:r>
      <w:r>
        <w:t xml:space="preserve"> </w:t>
      </w:r>
      <w:proofErr w:type="spellStart"/>
      <w:r>
        <w:t>În</w:t>
      </w:r>
      <w:proofErr w:type="spellEnd"/>
      <w:r>
        <w:t xml:space="preserve"> </w:t>
      </w:r>
      <w:proofErr w:type="spellStart"/>
      <w:r>
        <w:t>conformitate</w:t>
      </w:r>
      <w:proofErr w:type="spellEnd"/>
      <w:r>
        <w:t xml:space="preserve"> cu </w:t>
      </w:r>
      <w:proofErr w:type="spellStart"/>
      <w:r>
        <w:t>clasificarea</w:t>
      </w:r>
      <w:proofErr w:type="spellEnd"/>
      <w:r>
        <w:t xml:space="preserve"> </w:t>
      </w:r>
      <w:proofErr w:type="spellStart"/>
      <w:r>
        <w:t>activităţilor</w:t>
      </w:r>
      <w:proofErr w:type="spellEnd"/>
      <w:r>
        <w:t xml:space="preserve"> din </w:t>
      </w:r>
      <w:proofErr w:type="spellStart"/>
      <w:r>
        <w:t>economia</w:t>
      </w:r>
      <w:proofErr w:type="spellEnd"/>
      <w:r>
        <w:t xml:space="preserve"> </w:t>
      </w:r>
      <w:proofErr w:type="spellStart"/>
      <w:r>
        <w:t>naţională</w:t>
      </w:r>
      <w:proofErr w:type="spellEnd"/>
      <w:r>
        <w:t xml:space="preserve"> - CAEN Rev.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65FBA"/>
    <w:multiLevelType w:val="hybridMultilevel"/>
    <w:tmpl w:val="4D46F1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94A2434"/>
    <w:multiLevelType w:val="hybridMultilevel"/>
    <w:tmpl w:val="3B4C388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A5E6FBE"/>
    <w:multiLevelType w:val="hybridMultilevel"/>
    <w:tmpl w:val="9DD8DF2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D6E4E"/>
    <w:multiLevelType w:val="hybridMultilevel"/>
    <w:tmpl w:val="63ECDA3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8F"/>
    <w:rsid w:val="0008511C"/>
    <w:rsid w:val="003E20C2"/>
    <w:rsid w:val="005E5E32"/>
    <w:rsid w:val="006F46C3"/>
    <w:rsid w:val="008559CE"/>
    <w:rsid w:val="00974D6B"/>
    <w:rsid w:val="009C355B"/>
    <w:rsid w:val="00A302F4"/>
    <w:rsid w:val="00A51C1D"/>
    <w:rsid w:val="00A95126"/>
    <w:rsid w:val="00AB35E9"/>
    <w:rsid w:val="00C65F1D"/>
    <w:rsid w:val="00DC248F"/>
    <w:rsid w:val="00DF4A45"/>
    <w:rsid w:val="00F71B89"/>
    <w:rsid w:val="00FC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4966"/>
  <w15:chartTrackingRefBased/>
  <w15:docId w15:val="{E409EBA8-6A51-42B0-978C-E57765C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11C"/>
    <w:pPr>
      <w:spacing w:after="200" w:line="276" w:lineRule="auto"/>
    </w:pPr>
    <w:rPr>
      <w:rFonts w:ascii="Times New Roman" w:eastAsia="Calibri" w:hAnsi="Times New Roman" w:cs="Times New Roman"/>
      <w:lang w:val="ro-RO"/>
    </w:rPr>
  </w:style>
  <w:style w:type="paragraph" w:styleId="Heading2">
    <w:name w:val="heading 2"/>
    <w:aliases w:val="Heading 2 Char1,Heading 2 Char Char,Outline2"/>
    <w:basedOn w:val="Normal"/>
    <w:next w:val="Normal"/>
    <w:link w:val="Heading2Char"/>
    <w:uiPriority w:val="99"/>
    <w:qFormat/>
    <w:rsid w:val="0008511C"/>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511C"/>
    <w:rPr>
      <w:rFonts w:cs="Times New Roman"/>
      <w:color w:val="0000FF"/>
      <w:u w:val="single"/>
    </w:rPr>
  </w:style>
  <w:style w:type="paragraph" w:styleId="ListParagraph">
    <w:name w:val="List Paragraph"/>
    <w:aliases w:val="List Paragraph1,List1,Списък на абзаци,Normal bullet 2,body 2,List Paragraph11,Akapit z listą BS,Outlines a.b.c.,List_Paragraph,Multilevel para_II,Akapit z lista BS,Akapit z list¹ BS,List Paragraph111,Forth level,List Paragraph2,Bullet"/>
    <w:basedOn w:val="Normal"/>
    <w:link w:val="ListParagraphChar"/>
    <w:uiPriority w:val="34"/>
    <w:qFormat/>
    <w:rsid w:val="0008511C"/>
    <w:pPr>
      <w:ind w:left="720"/>
      <w:contextualSpacing/>
    </w:pPr>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08511C"/>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Bullet Char"/>
    <w:link w:val="ListParagraph"/>
    <w:uiPriority w:val="34"/>
    <w:locked/>
    <w:rsid w:val="0008511C"/>
    <w:rPr>
      <w:rFonts w:ascii="Times New Roman" w:eastAsia="Calibri" w:hAnsi="Times New Roman" w:cs="Times New Roman"/>
      <w:sz w:val="20"/>
      <w:szCs w:val="20"/>
      <w:lang w:val="ro-RO"/>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f"/>
    <w:basedOn w:val="Normal"/>
    <w:link w:val="FootnoteTextChar1"/>
    <w:uiPriority w:val="99"/>
    <w:rsid w:val="0008511C"/>
    <w:pPr>
      <w:spacing w:after="0" w:line="240" w:lineRule="auto"/>
    </w:pPr>
    <w:rPr>
      <w:sz w:val="20"/>
      <w:szCs w:val="20"/>
      <w:lang w:val="en-US"/>
    </w:rPr>
  </w:style>
  <w:style w:type="character" w:customStyle="1" w:styleId="FootnoteTextChar">
    <w:name w:val="Footnote Text Char"/>
    <w:basedOn w:val="DefaultParagraphFont"/>
    <w:uiPriority w:val="99"/>
    <w:semiHidden/>
    <w:rsid w:val="0008511C"/>
    <w:rPr>
      <w:rFonts w:ascii="Times New Roman" w:eastAsia="Calibri"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locked/>
    <w:rsid w:val="0008511C"/>
    <w:rPr>
      <w:rFonts w:ascii="Times New Roman" w:eastAsia="Calibri" w:hAnsi="Times New Roman" w:cs="Times New Roman"/>
      <w:sz w:val="20"/>
      <w:szCs w:val="20"/>
      <w:lang w:val="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8511C"/>
    <w:pPr>
      <w:spacing w:after="160" w:line="240" w:lineRule="exact"/>
      <w:jc w:val="both"/>
    </w:pPr>
    <w:rPr>
      <w:rFonts w:asciiTheme="minorHAnsi" w:eastAsiaTheme="minorHAnsi" w:hAnsiTheme="minorHAnsi"/>
      <w:vertAlign w:val="superscript"/>
      <w:lang w:val="en-GB"/>
    </w:rPr>
  </w:style>
  <w:style w:type="paragraph" w:styleId="NormalWeb">
    <w:name w:val="Normal (Web)"/>
    <w:basedOn w:val="Normal"/>
    <w:uiPriority w:val="99"/>
    <w:rsid w:val="0008511C"/>
    <w:pPr>
      <w:spacing w:before="100" w:beforeAutospacing="1" w:after="100" w:afterAutospacing="1" w:line="240" w:lineRule="auto"/>
    </w:pPr>
    <w:rPr>
      <w:rFonts w:eastAsia="SimSun"/>
      <w:sz w:val="24"/>
      <w:szCs w:val="24"/>
      <w:lang w:val="en-US" w:eastAsia="zh-CN"/>
    </w:rPr>
  </w:style>
  <w:style w:type="character" w:customStyle="1" w:styleId="Heading2Char">
    <w:name w:val="Heading 2 Char"/>
    <w:aliases w:val="Heading 2 Char1 Char,Heading 2 Char Char Char,Outline2 Char"/>
    <w:basedOn w:val="DefaultParagraphFont"/>
    <w:link w:val="Heading2"/>
    <w:uiPriority w:val="99"/>
    <w:rsid w:val="0008511C"/>
    <w:rPr>
      <w:rFonts w:ascii="Times New Roman" w:eastAsia="Times New Roman" w:hAnsi="Times New Roman" w:cs="Times New Roman"/>
      <w:b/>
      <w:bCs/>
      <w:sz w:val="28"/>
      <w:szCs w:val="26"/>
      <w:lang w:val="ro-RO"/>
    </w:rPr>
  </w:style>
  <w:style w:type="character" w:styleId="UnresolvedMention">
    <w:name w:val="Unresolved Mention"/>
    <w:basedOn w:val="DefaultParagraphFont"/>
    <w:uiPriority w:val="99"/>
    <w:semiHidden/>
    <w:unhideWhenUsed/>
    <w:rsid w:val="00A95126"/>
    <w:rPr>
      <w:color w:val="605E5C"/>
      <w:shd w:val="clear" w:color="auto" w:fill="E1DFDD"/>
    </w:rPr>
  </w:style>
  <w:style w:type="character" w:styleId="FollowedHyperlink">
    <w:name w:val="FollowedHyperlink"/>
    <w:basedOn w:val="DefaultParagraphFont"/>
    <w:uiPriority w:val="99"/>
    <w:semiHidden/>
    <w:unhideWhenUsed/>
    <w:rsid w:val="00A51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openxmlformats.org/officeDocument/2006/relationships/settings" Target="settings.xml"/><Relationship Id="rId7" Type="http://schemas.openxmlformats.org/officeDocument/2006/relationships/hyperlink" Target="https://2014.mysm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fe.gov.ro/wp-content/uploads/2021/09/17f283edae42b8f06cd9dc924e70439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7</cp:revision>
  <dcterms:created xsi:type="dcterms:W3CDTF">2021-09-30T07:22:00Z</dcterms:created>
  <dcterms:modified xsi:type="dcterms:W3CDTF">2021-09-30T08:12:00Z</dcterms:modified>
</cp:coreProperties>
</file>